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2E7D39" w:rsidRDefault="009E21F5" w:rsidP="009E21F5">
      <w:pPr>
        <w:tabs>
          <w:tab w:val="center" w:pos="4536"/>
          <w:tab w:val="right" w:pos="9214"/>
        </w:tabs>
        <w:spacing w:after="0"/>
        <w:ind w:firstLine="709"/>
        <w:jc w:val="right"/>
        <w:rPr>
          <w:rFonts w:ascii="Times New Roman" w:eastAsia="Times New Roman" w:hAnsi="Times New Roman" w:cs="Times New Roman"/>
          <w:i/>
          <w:sz w:val="24"/>
          <w:szCs w:val="24"/>
          <w:lang w:eastAsia="bg-BG"/>
        </w:rPr>
      </w:pPr>
      <w:r w:rsidRPr="002E7D39">
        <w:rPr>
          <w:rFonts w:ascii="Times New Roman" w:eastAsia="Times New Roman" w:hAnsi="Times New Roman" w:cs="Times New Roman"/>
          <w:i/>
          <w:sz w:val="24"/>
          <w:szCs w:val="24"/>
          <w:lang w:eastAsia="bg-BG"/>
        </w:rPr>
        <w:t>ОБРАЗЕЦ № 6</w:t>
      </w:r>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bookmarkStart w:id="0" w:name="_GoBack"/>
      <w:bookmarkEnd w:id="0"/>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251B72">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4F0FE7">
        <w:rPr>
          <w:rFonts w:ascii="Times New Roman" w:hAnsi="Times New Roman" w:cs="Times New Roman"/>
          <w:sz w:val="24"/>
          <w:szCs w:val="24"/>
        </w:rPr>
        <w:t>бенефициер</w:t>
      </w:r>
      <w:proofErr w:type="spellEnd"/>
      <w:r w:rsidRPr="004F0FE7">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251B72"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251B72" w:rsidRPr="00251B72" w:rsidRDefault="00251B72" w:rsidP="00251B72">
      <w:pPr>
        <w:spacing w:after="0"/>
        <w:jc w:val="both"/>
        <w:rPr>
          <w:rFonts w:ascii="Times New Roman" w:hAnsi="Times New Roman" w:cs="Times New Roman"/>
          <w:sz w:val="24"/>
          <w:szCs w:val="24"/>
          <w:lang w:val="en-US"/>
        </w:rPr>
      </w:pP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4F0FE7">
        <w:rPr>
          <w:rFonts w:ascii="Times New Roman" w:hAnsi="Times New Roman" w:cs="Times New Roman"/>
          <w:sz w:val="24"/>
          <w:szCs w:val="24"/>
        </w:rPr>
        <w:t>бенефициер</w:t>
      </w:r>
      <w:proofErr w:type="spellEnd"/>
      <w:r w:rsidRPr="004F0FE7">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251B72" w:rsidRDefault="004F0FE7" w:rsidP="00251B72">
      <w:pPr>
        <w:spacing w:after="0"/>
        <w:ind w:firstLine="420"/>
        <w:jc w:val="both"/>
        <w:rPr>
          <w:rFonts w:ascii="Times New Roman" w:hAnsi="Times New Roman" w:cs="Times New Roman"/>
          <w:sz w:val="24"/>
          <w:szCs w:val="24"/>
          <w:lang w:val="en-US"/>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Default="004F0FE7" w:rsidP="004F0FE7">
      <w:pPr>
        <w:spacing w:after="0"/>
        <w:jc w:val="both"/>
        <w:rPr>
          <w:rFonts w:ascii="Times New Roman" w:hAnsi="Times New Roman" w:cs="Times New Roman"/>
          <w:sz w:val="24"/>
          <w:szCs w:val="24"/>
          <w:lang w:val="en-US"/>
        </w:rPr>
      </w:pPr>
      <w:r w:rsidRPr="004F0FE7">
        <w:rPr>
          <w:rFonts w:ascii="Times New Roman" w:hAnsi="Times New Roman" w:cs="Times New Roman"/>
          <w:sz w:val="24"/>
          <w:szCs w:val="24"/>
        </w:rPr>
        <w:t xml:space="preserve">                              (заедно, поотделно или по друг начин)</w:t>
      </w:r>
    </w:p>
    <w:p w:rsidR="00251B72" w:rsidRPr="00251B72" w:rsidRDefault="00251B72"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lastRenderedPageBreak/>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Default="004F0FE7" w:rsidP="004F0FE7">
      <w:pPr>
        <w:spacing w:after="0"/>
        <w:jc w:val="both"/>
        <w:rPr>
          <w:rFonts w:ascii="Times New Roman" w:hAnsi="Times New Roman" w:cs="Times New Roman"/>
          <w:i/>
          <w:sz w:val="24"/>
          <w:szCs w:val="24"/>
          <w:lang w:val="en-US"/>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251B72" w:rsidRDefault="00251B72" w:rsidP="004F0FE7">
      <w:pPr>
        <w:spacing w:after="0"/>
        <w:jc w:val="both"/>
        <w:rPr>
          <w:rFonts w:ascii="Times New Roman" w:hAnsi="Times New Roman" w:cs="Times New Roman"/>
          <w:i/>
          <w:sz w:val="24"/>
          <w:szCs w:val="24"/>
          <w:lang w:val="en-US"/>
        </w:rPr>
      </w:pPr>
    </w:p>
    <w:p w:rsidR="00251B72" w:rsidRPr="00251B72" w:rsidRDefault="00251B72" w:rsidP="004F0FE7">
      <w:pPr>
        <w:spacing w:after="0"/>
        <w:jc w:val="both"/>
        <w:rPr>
          <w:rFonts w:ascii="Times New Roman" w:hAnsi="Times New Roman" w:cs="Times New Roman"/>
          <w:i/>
          <w:sz w:val="24"/>
          <w:szCs w:val="24"/>
          <w:lang w:val="en-US"/>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 xml:space="preserve">2. По отношение на доверителната собственост, включително тръстове, </w:t>
      </w:r>
      <w:proofErr w:type="spellStart"/>
      <w:r w:rsidRPr="004F0FE7">
        <w:rPr>
          <w:rFonts w:ascii="Times New Roman" w:hAnsi="Times New Roman" w:cs="Times New Roman"/>
          <w:i/>
          <w:sz w:val="24"/>
          <w:szCs w:val="24"/>
        </w:rPr>
        <w:t>попечителски</w:t>
      </w:r>
      <w:proofErr w:type="spellEnd"/>
      <w:r w:rsidRPr="004F0FE7">
        <w:rPr>
          <w:rFonts w:ascii="Times New Roman" w:hAnsi="Times New Roman" w:cs="Times New Roman"/>
          <w:i/>
          <w:sz w:val="24"/>
          <w:szCs w:val="24"/>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г) </w:t>
      </w:r>
      <w:proofErr w:type="spellStart"/>
      <w:r w:rsidRPr="004F0FE7">
        <w:rPr>
          <w:rFonts w:ascii="Times New Roman" w:hAnsi="Times New Roman" w:cs="Times New Roman"/>
          <w:i/>
          <w:sz w:val="24"/>
          <w:szCs w:val="24"/>
        </w:rPr>
        <w:t>бенефициерът</w:t>
      </w:r>
      <w:proofErr w:type="spellEnd"/>
      <w:r w:rsidRPr="004F0FE7">
        <w:rPr>
          <w:rFonts w:ascii="Times New Roman" w:hAnsi="Times New Roman" w:cs="Times New Roman"/>
          <w:i/>
          <w:sz w:val="24"/>
          <w:szCs w:val="24"/>
        </w:rPr>
        <w:t xml:space="preserve"> или класът </w:t>
      </w:r>
      <w:proofErr w:type="spellStart"/>
      <w:r w:rsidRPr="004F0FE7">
        <w:rPr>
          <w:rFonts w:ascii="Times New Roman" w:hAnsi="Times New Roman" w:cs="Times New Roman"/>
          <w:i/>
          <w:sz w:val="24"/>
          <w:szCs w:val="24"/>
        </w:rPr>
        <w:t>бенефициери</w:t>
      </w:r>
      <w:proofErr w:type="spellEnd"/>
      <w:r w:rsidRPr="004F0FE7">
        <w:rPr>
          <w:rFonts w:ascii="Times New Roman" w:hAnsi="Times New Roman" w:cs="Times New Roman"/>
          <w:i/>
          <w:sz w:val="24"/>
          <w:szCs w:val="24"/>
        </w:rPr>
        <w:t>,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51B72"/>
    <w:rsid w:val="002E7D39"/>
    <w:rsid w:val="004F0FE7"/>
    <w:rsid w:val="005526EC"/>
    <w:rsid w:val="007175EB"/>
    <w:rsid w:val="00790538"/>
    <w:rsid w:val="008D11D5"/>
    <w:rsid w:val="009E21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2477</Words>
  <Characters>14123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Yanka Zdravkova</cp:lastModifiedBy>
  <cp:revision>5</cp:revision>
  <dcterms:created xsi:type="dcterms:W3CDTF">2019-04-01T08:31:00Z</dcterms:created>
  <dcterms:modified xsi:type="dcterms:W3CDTF">2019-04-03T07:50:00Z</dcterms:modified>
</cp:coreProperties>
</file>