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B531EA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1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A170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A170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4B24A6" w:rsidRDefault="00B531EA" w:rsidP="004B24A6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средно напрежение и избор на координатор на балансираща група за Спортна зала „Орловец“”</w:t>
      </w:r>
    </w:p>
    <w:p w:rsidR="00B531EA" w:rsidRPr="00B531EA" w:rsidRDefault="00B531EA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C90654">
        <w:rPr>
          <w:b/>
        </w:rPr>
        <w:t>е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C90654">
        <w:rPr>
          <w:rFonts w:eastAsia="Times New Roman"/>
        </w:rPr>
        <w:t>е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</w:t>
      </w:r>
      <w:r w:rsidR="00C90654">
        <w:rPr>
          <w:rFonts w:eastAsia="Times New Roman"/>
        </w:rPr>
        <w:t>им</w:t>
      </w:r>
      <w:r>
        <w:rPr>
          <w:rFonts w:eastAsia="Times New Roman"/>
        </w:rPr>
        <w:t xml:space="preserve">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</w:t>
      </w:r>
      <w:r w:rsidR="00BC7A1B">
        <w:rPr>
          <w:rFonts w:eastAsia="Times New Roman"/>
        </w:rPr>
        <w:t>е</w:t>
      </w:r>
      <w:bookmarkStart w:id="0" w:name="_GoBack"/>
      <w:bookmarkEnd w:id="0"/>
      <w:r>
        <w:rPr>
          <w:rFonts w:eastAsia="Times New Roman"/>
        </w:rPr>
        <w:t xml:space="preserve">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</w:t>
      </w:r>
      <w:r w:rsidR="00C90654">
        <w:rPr>
          <w:rFonts w:eastAsia="Times New Roman"/>
        </w:rPr>
        <w:t>ваме</w:t>
      </w:r>
      <w:r>
        <w:rPr>
          <w:rFonts w:eastAsia="Times New Roman"/>
        </w:rPr>
        <w:t xml:space="preserve">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</w:t>
      </w:r>
      <w:r w:rsidR="00C90654">
        <w:rPr>
          <w:rFonts w:eastAsia="Times New Roman"/>
        </w:rPr>
        <w:t xml:space="preserve">ме </w:t>
      </w:r>
      <w:r>
        <w:rPr>
          <w:rFonts w:eastAsia="Times New Roman"/>
        </w:rPr>
        <w:t>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</w:t>
      </w:r>
      <w:r w:rsidR="00C90654">
        <w:rPr>
          <w:rFonts w:eastAsia="Times New Roman"/>
        </w:rPr>
        <w:t>ме</w:t>
      </w:r>
      <w:r>
        <w:rPr>
          <w:rFonts w:eastAsia="Times New Roman"/>
        </w:rPr>
        <w:t xml:space="preserve">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</w:t>
      </w:r>
      <w:r w:rsidR="00C90654">
        <w:rPr>
          <w:rFonts w:eastAsia="Times New Roman"/>
        </w:rPr>
        <w:t>е</w:t>
      </w:r>
      <w:r w:rsidR="0073046F">
        <w:rPr>
          <w:rFonts w:eastAsia="Times New Roman"/>
        </w:rPr>
        <w:t xml:space="preserve">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C90654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="0073046F">
        <w:rPr>
          <w:rFonts w:eastAsia="Times New Roman"/>
        </w:rPr>
        <w:t>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 w:rsidR="0073046F"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="00C9065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</w:t>
      </w:r>
      <w:r w:rsidR="007F3CAF">
        <w:rPr>
          <w:rFonts w:ascii="Times New Roman" w:hAnsi="Times New Roman" w:cs="Times New Roman"/>
          <w:sz w:val="24"/>
          <w:szCs w:val="24"/>
        </w:rPr>
        <w:t>ото</w:t>
      </w:r>
      <w:r w:rsidR="00743581" w:rsidRPr="005824F7">
        <w:rPr>
          <w:rFonts w:ascii="Times New Roman" w:hAnsi="Times New Roman" w:cs="Times New Roman"/>
          <w:sz w:val="24"/>
          <w:szCs w:val="24"/>
        </w:rPr>
        <w:t xml:space="preserve"> </w:t>
      </w:r>
      <w:r w:rsidR="007F3CAF">
        <w:rPr>
          <w:rFonts w:ascii="Times New Roman" w:hAnsi="Times New Roman" w:cs="Times New Roman"/>
          <w:sz w:val="24"/>
          <w:szCs w:val="24"/>
        </w:rPr>
        <w:t>предложение.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lastRenderedPageBreak/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</w:t>
      </w:r>
      <w:r w:rsidR="00C90654">
        <w:t>е</w:t>
      </w:r>
      <w:r>
        <w:t xml:space="preserve">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</w:t>
      </w:r>
      <w:r w:rsidR="00C90654">
        <w:t>е</w:t>
      </w:r>
      <w:r>
        <w:t xml:space="preserve">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14171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14171">
        <w:t>доставям</w:t>
      </w:r>
      <w:r w:rsidR="00C90654">
        <w:t>е</w:t>
      </w:r>
      <w:r w:rsidRPr="00D14171">
        <w:t xml:space="preserve"> електрическа енергия с качество и по ред съгласно предвиденото в Закона за енергетиката, ПТЕЕ и ПИКЕЕ;</w:t>
      </w:r>
      <w:r w:rsidR="00231DA2" w:rsidRPr="00D14171">
        <w:rPr>
          <w:lang w:val="en-US"/>
        </w:rPr>
        <w:t xml:space="preserve"> 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</w:t>
      </w:r>
      <w:r w:rsidR="00C90654">
        <w:t>е</w:t>
      </w:r>
      <w:r>
        <w:t xml:space="preserve"> всички необходими действия, съгласно действащите  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</w:t>
      </w:r>
      <w:r w:rsidR="00C90654">
        <w:t>е</w:t>
      </w:r>
      <w:r>
        <w:t xml:space="preserve">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</w:t>
      </w:r>
      <w:r w:rsidR="00C90654">
        <w:t>е</w:t>
      </w:r>
      <w:r>
        <w:t xml:space="preserve">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proofErr w:type="spellStart"/>
      <w:r>
        <w:t>уведомя</w:t>
      </w:r>
      <w:r w:rsidR="00C90654">
        <w:t>ме</w:t>
      </w:r>
      <w:proofErr w:type="spellEnd"/>
      <w:r>
        <w:t xml:space="preserve">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</w:t>
      </w:r>
      <w:r w:rsidR="00C90654">
        <w:t>ме</w:t>
      </w:r>
      <w:r>
        <w:t xml:space="preserve">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proofErr w:type="spellStart"/>
      <w:r>
        <w:t>у</w:t>
      </w:r>
      <w:r w:rsidR="0073046F">
        <w:t>ведомя</w:t>
      </w:r>
      <w:r w:rsidR="00C90654">
        <w:t>ме</w:t>
      </w:r>
      <w:proofErr w:type="spellEnd"/>
      <w:r w:rsidR="0073046F">
        <w:t xml:space="preserve">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A6EBD" w:rsidRPr="005C5DC7" w:rsidRDefault="00E71A5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D3B42" w:rsidRPr="005C5DC7">
        <w:rPr>
          <w:rFonts w:ascii="Times New Roman" w:hAnsi="Times New Roman" w:cs="Times New Roman"/>
          <w:sz w:val="24"/>
          <w:szCs w:val="24"/>
        </w:rPr>
        <w:t xml:space="preserve">. Към момента на подаване на </w:t>
      </w:r>
      <w:r w:rsidR="002D3B42"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>овия оператор ……………</w:t>
      </w:r>
      <w:proofErr w:type="gramStart"/>
      <w:r w:rsidR="00DA6EBD" w:rsidRPr="005C5DC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="00DA6EBD" w:rsidRPr="005C5DC7">
        <w:rPr>
          <w:rFonts w:ascii="Times New Roman" w:hAnsi="Times New Roman" w:cs="Times New Roman"/>
          <w:sz w:val="24"/>
          <w:szCs w:val="24"/>
        </w:rPr>
        <w:t xml:space="preserve"> лицензиран за територията на възложителя. </w:t>
      </w:r>
    </w:p>
    <w:p w:rsidR="005C5DC7" w:rsidRPr="005C5DC7" w:rsidRDefault="00DA6EBD" w:rsidP="00E71A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  <w:r w:rsidR="00E71A5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="005C5DC7"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="005C5DC7"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="005C5DC7"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="005C5DC7">
        <w:rPr>
          <w:rFonts w:ascii="Times New Roman" w:hAnsi="Times New Roman" w:cs="Times New Roman"/>
          <w:sz w:val="24"/>
          <w:szCs w:val="24"/>
        </w:rPr>
        <w:t>.</w:t>
      </w:r>
    </w:p>
    <w:p w:rsidR="00233CD6" w:rsidRPr="005C5DC7" w:rsidRDefault="00233CD6" w:rsidP="00233CD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C5DC7">
        <w:rPr>
          <w:rFonts w:ascii="Times New Roman" w:hAnsi="Times New Roman" w:cs="Times New Roman"/>
          <w:sz w:val="24"/>
          <w:szCs w:val="24"/>
        </w:rPr>
        <w:t>. Към момента на подаване на офертата броят на членовете на балансиращата група, на която сме координатор, е …… 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DC7">
        <w:rPr>
          <w:rFonts w:ascii="Times New Roman" w:hAnsi="Times New Roman" w:cs="Times New Roman"/>
          <w:sz w:val="24"/>
          <w:szCs w:val="24"/>
        </w:rPr>
        <w:t>(с думи).</w:t>
      </w:r>
    </w:p>
    <w:p w:rsidR="00233CD6" w:rsidRDefault="00233CD6" w:rsidP="00233CD6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7A57FC" w:rsidRPr="007A57FC" w:rsidRDefault="007A57FC" w:rsidP="007A57F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2"/>
          <w:szCs w:val="22"/>
          <w:lang w:val="en-US"/>
        </w:rPr>
        <w:lastRenderedPageBreak/>
        <w:tab/>
      </w:r>
      <w:r w:rsidRPr="007A57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4. </w:t>
      </w:r>
      <w:r w:rsidRPr="007A57F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Не</w:t>
      </w:r>
      <w:r w:rsidRPr="007A57FC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фигурираме</w:t>
      </w:r>
      <w:r w:rsidRPr="007A57FC">
        <w:rPr>
          <w:rFonts w:ascii="Times New Roman" w:hAnsi="Times New Roman" w:cs="Times New Roman"/>
          <w:sz w:val="24"/>
          <w:szCs w:val="24"/>
        </w:rPr>
        <w:t xml:space="preserve"> в списъка на търговци/ производители на електрическа енергия с просрочени задължения към Обществения доставчик за цена „задължение към обществото“.</w:t>
      </w:r>
    </w:p>
    <w:p w:rsidR="007A57FC" w:rsidRDefault="007A57FC" w:rsidP="007A57F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7A57FC" w:rsidRPr="00974D31" w:rsidRDefault="007A57FC" w:rsidP="007A57F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7A57FC" w:rsidRPr="00DA6EBD" w:rsidRDefault="007A57FC" w:rsidP="007A57FC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7A57FC" w:rsidRDefault="007A57FC" w:rsidP="007A57FC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7A57FC" w:rsidRPr="00E76002" w:rsidRDefault="007A57FC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233CD6" w:rsidRPr="00DA6EBD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33CD6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233CD6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CD6" w:rsidRPr="00DA6EBD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233CD6" w:rsidRPr="000B398B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233CD6" w:rsidRDefault="00233CD6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165EBD"/>
    <w:rsid w:val="001A13B1"/>
    <w:rsid w:val="001A2BA7"/>
    <w:rsid w:val="001E71E2"/>
    <w:rsid w:val="00231DA2"/>
    <w:rsid w:val="00233CD6"/>
    <w:rsid w:val="00265EB4"/>
    <w:rsid w:val="002D3B42"/>
    <w:rsid w:val="002E3025"/>
    <w:rsid w:val="002F0556"/>
    <w:rsid w:val="00343D65"/>
    <w:rsid w:val="003D5F57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7A57FC"/>
    <w:rsid w:val="007F3CAF"/>
    <w:rsid w:val="00837CE9"/>
    <w:rsid w:val="008947E4"/>
    <w:rsid w:val="008D36F0"/>
    <w:rsid w:val="009021B8"/>
    <w:rsid w:val="00944C15"/>
    <w:rsid w:val="00974D31"/>
    <w:rsid w:val="009A45FA"/>
    <w:rsid w:val="00A02100"/>
    <w:rsid w:val="00A170B7"/>
    <w:rsid w:val="00A72556"/>
    <w:rsid w:val="00B531EA"/>
    <w:rsid w:val="00B54C13"/>
    <w:rsid w:val="00B6379B"/>
    <w:rsid w:val="00B6398F"/>
    <w:rsid w:val="00BC7A1B"/>
    <w:rsid w:val="00BF37C5"/>
    <w:rsid w:val="00BF3AEB"/>
    <w:rsid w:val="00C15F30"/>
    <w:rsid w:val="00C23282"/>
    <w:rsid w:val="00C234B8"/>
    <w:rsid w:val="00C40F6B"/>
    <w:rsid w:val="00C63426"/>
    <w:rsid w:val="00C90654"/>
    <w:rsid w:val="00D14171"/>
    <w:rsid w:val="00D4734F"/>
    <w:rsid w:val="00D5064F"/>
    <w:rsid w:val="00DA5A4F"/>
    <w:rsid w:val="00DA6EBD"/>
    <w:rsid w:val="00DE44F3"/>
    <w:rsid w:val="00DF7146"/>
    <w:rsid w:val="00E05CE8"/>
    <w:rsid w:val="00E31F98"/>
    <w:rsid w:val="00E70AEE"/>
    <w:rsid w:val="00E71A54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9B328-CC2E-4BF0-9BF6-6DC2ED93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48</cp:revision>
  <cp:lastPrinted>2019-07-08T06:46:00Z</cp:lastPrinted>
  <dcterms:created xsi:type="dcterms:W3CDTF">2017-08-01T15:20:00Z</dcterms:created>
  <dcterms:modified xsi:type="dcterms:W3CDTF">2019-07-08T06:46:00Z</dcterms:modified>
</cp:coreProperties>
</file>